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ПОЛЬЗОВАТЕЛЬСКОЕ СОГЛАШЕНИЕ</w:t>
      </w:r>
      <w:r>
        <w:rPr>
          <w:rFonts w:ascii="Times New Roman" w:hAnsi="Times New Roman" w:cs="Times New Roman"/>
          <w:b/>
          <w:bCs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 xml:space="preserve">Термины и определения, используемые в настоящем Соглашении</w:t>
      </w:r>
      <w:r>
        <w:rPr>
          <w:rFonts w:ascii="Times New Roman" w:hAnsi="Times New Roman" w:cs="Times New Roman"/>
          <w:b/>
          <w:bCs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«Игра»</w:t>
      </w:r>
      <w:r>
        <w:rPr>
          <w:rFonts w:ascii="Times New Roman" w:hAnsi="Times New Roman" w:cs="Times New Roman"/>
        </w:rPr>
        <w:t xml:space="preserve"> — проводимое Организатором в Месте оказания услуг соревнование</w:t>
      </w:r>
      <w:r>
        <w:rPr>
          <w:rFonts w:ascii="Times New Roman" w:hAnsi="Times New Roman" w:cs="Times New Roman"/>
        </w:rPr>
        <w:t xml:space="preserve">, основанное на физической активности человека, направленное на физическое и интеллектуальное развитие человека, совершенствование двигательной активности и формирование здорового образа жизни человека, удовлетворяющее потребности человека в активном досуг</w:t>
      </w:r>
      <w:r>
        <w:rPr>
          <w:rFonts w:ascii="Times New Roman" w:hAnsi="Times New Roman" w:cs="Times New Roman"/>
        </w:rPr>
        <w:t xml:space="preserve">е, начинающееся в указанное в расписании Организатора время суток и проходящее в течение определенного непрерывного промежутка времени в соответствии с определенным Организатором сценарием и условиями, которые включают в себя в том числе соблюдение Правил.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 xml:space="preserve">«Место оказания услуг»</w:t>
      </w:r>
      <w:r>
        <w:rPr>
          <w:rFonts w:ascii="Times New Roman" w:hAnsi="Times New Roman" w:cs="Times New Roman"/>
        </w:rPr>
        <w:t xml:space="preserve"> — Локация виртуальной реальности, принадлежащая Организатору на законном основании, и выбранная Пользователем.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 xml:space="preserve">«Организатор»</w:t>
      </w:r>
      <w:r>
        <w:rPr>
          <w:rFonts w:ascii="Times New Roman" w:hAnsi="Times New Roman" w:cs="Times New Roman"/>
        </w:rPr>
        <w:t xml:space="preserve"> — лицо, оказывающее Услугу (Услуги) Пользователю.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 xml:space="preserve">«Персональные данные»</w:t>
      </w:r>
      <w:r>
        <w:rPr>
          <w:rFonts w:ascii="Times New Roman" w:hAnsi="Times New Roman" w:cs="Times New Roman"/>
        </w:rPr>
        <w:t xml:space="preserve"> — любая информация, относящаяся прямо или косвенно к определенному или определяемому физическому лицу (субъекту персональных данных).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 xml:space="preserve">«Пользователь»</w:t>
      </w:r>
      <w:r>
        <w:rPr>
          <w:rFonts w:ascii="Times New Roman" w:hAnsi="Times New Roman" w:cs="Times New Roman"/>
        </w:rPr>
        <w:t xml:space="preserve"> — физическое лицо, осуществившее регистрацию на Сайте с целью бронирования Сеанса и/или пользования Услугами Организатора в соответствии с условиями настоящего Соглашения.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 xml:space="preserve">«Правила»</w:t>
      </w:r>
      <w:r>
        <w:rPr>
          <w:rFonts w:ascii="Times New Roman" w:hAnsi="Times New Roman" w:cs="Times New Roman"/>
        </w:rPr>
        <w:t xml:space="preserve"> — обязательные для соблюдения при получении Услуг каждым Уч</w:t>
      </w:r>
      <w:r>
        <w:rPr>
          <w:rFonts w:ascii="Times New Roman" w:hAnsi="Times New Roman" w:cs="Times New Roman"/>
        </w:rPr>
        <w:t xml:space="preserve">астником требования, включая, но не ограничиваясь: ограничения по возрасту, составу и количеству Участников в Игре, ограничения по состоянию здоровья Участника и его физическому состоянию и т. п. в зависимости от условий оказания Услуги определенного вида.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 xml:space="preserve">«Сайт»</w:t>
      </w:r>
      <w:r>
        <w:rPr>
          <w:rFonts w:ascii="Times New Roman" w:hAnsi="Times New Roman" w:cs="Times New Roman"/>
        </w:rPr>
        <w:t xml:space="preserve"> — ресурс, размещенный в сети Интернет по адресу warpoint.ru, посредством которого обеспечивается предоставление информации об Услугах. Сайт допол</w:t>
      </w:r>
      <w:r>
        <w:rPr>
          <w:rFonts w:ascii="Times New Roman" w:hAnsi="Times New Roman" w:cs="Times New Roman"/>
        </w:rPr>
        <w:t xml:space="preserve">нительно предоставляет Пользователю возможность через Интернет взаимодействовать с системой бронирования Игры на желаемое время (Сеанс), включая возможность получить имеющиеся описания, изображения, наличие и условия, а также стоимость бронирования Сеанса.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«Сеанс»</w:t>
      </w:r>
      <w:r>
        <w:rPr>
          <w:rFonts w:ascii="Times New Roman" w:hAnsi="Times New Roman" w:cs="Times New Roman"/>
        </w:rPr>
        <w:t xml:space="preserve"> – ограниченное временным промежутком посещение Пользователем Локации виртуальной реальности, связанное с участием в Игре.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 xml:space="preserve">«Услуга», «Услуги»</w:t>
      </w:r>
      <w:r>
        <w:rPr>
          <w:rFonts w:ascii="Times New Roman" w:hAnsi="Times New Roman" w:cs="Times New Roman"/>
        </w:rPr>
        <w:t xml:space="preserve"> — комплекс мероприятий, осуществляемых Ор</w:t>
      </w:r>
      <w:r>
        <w:rPr>
          <w:rFonts w:ascii="Times New Roman" w:hAnsi="Times New Roman" w:cs="Times New Roman"/>
        </w:rPr>
        <w:t xml:space="preserve">ганизатором при проведении Игры, а также иных сопутствующих мероприятий в соответствии с поручением Пользователя, Участника (его законного представителя) или иного лица, желающего принять участие в Игре лично или обеспечить участие в Игре иного лица (лиц).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 xml:space="preserve">«Участник»</w:t>
      </w:r>
      <w:r>
        <w:rPr>
          <w:rFonts w:ascii="Times New Roman" w:hAnsi="Times New Roman" w:cs="Times New Roman"/>
        </w:rPr>
        <w:t xml:space="preserve"> — физическое лицо, являющееся получателем Услуги (Услуг) по участию в Игре.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0"/>
          <w:numId w:val="9"/>
        </w:num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Общие положения: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9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Настоящее Соглашение является публичной офертой в соответствии со ст. </w:t>
      </w:r>
      <w:r>
        <w:rPr>
          <w:rFonts w:ascii="Times New Roman" w:hAnsi="Times New Roman" w:cs="Times New Roman"/>
          <w:highlight w:val="yellow"/>
        </w:rPr>
        <w:t xml:space="preserve">405</w:t>
      </w:r>
      <w:r>
        <w:rPr>
          <w:rFonts w:ascii="Times New Roman" w:hAnsi="Times New Roman" w:cs="Times New Roman"/>
          <w:highlight w:val="yellow"/>
        </w:rPr>
        <w:t xml:space="preserve">, </w:t>
      </w:r>
      <w:r>
        <w:rPr>
          <w:rFonts w:ascii="Times New Roman" w:hAnsi="Times New Roman" w:cs="Times New Roman"/>
          <w:highlight w:val="yellow"/>
        </w:rPr>
        <w:t xml:space="preserve">п.2 ст. 407 Гражданского Кодекса Республики Беларусь</w:t>
      </w:r>
      <w:r>
        <w:rPr>
          <w:rFonts w:ascii="Times New Roman" w:hAnsi="Times New Roman" w:cs="Times New Roman"/>
          <w:highlight w:val="yellow"/>
        </w:rPr>
        <w:t xml:space="preserve"> и определяет условия оказания и получения Услуг, положения о бронировании Услуг, а также условия использования Сайта.</w:t>
      </w:r>
      <w:r>
        <w:rPr>
          <w:rFonts w:ascii="Times New Roman" w:hAnsi="Times New Roman" w:cs="Times New Roman"/>
          <w:highlight w:val="yellow"/>
        </w:rPr>
      </w:r>
    </w:p>
    <w:p>
      <w:pPr>
        <w:pStyle w:val="952"/>
        <w:numPr>
          <w:ilvl w:val="1"/>
          <w:numId w:val="9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Настоящее Соглашение вступает в силу с момента выражения Пользователем и/или Участником (его законным представителем) согласия с его условиями в порядке, определенном </w:t>
      </w:r>
      <w:r>
        <w:rPr>
          <w:rFonts w:ascii="Times New Roman" w:hAnsi="Times New Roman" w:cs="Times New Roman"/>
        </w:rPr>
        <w:t xml:space="preserve">пп</w:t>
      </w:r>
      <w:r>
        <w:rPr>
          <w:rFonts w:ascii="Times New Roman" w:hAnsi="Times New Roman" w:cs="Times New Roman"/>
        </w:rPr>
        <w:t xml:space="preserve">. 1.3 настоящего Соглашения, и действует бессрочно до полного исполнения Организатором и Пользователем и/или Участником взятых на себя обязательств или до расторжения настоящего Соглашения в установленном законом порядке.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9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Проходя процедуру регистрации (посредством ввода своих Персональных данных) на Сайте, Пользователь считается подробно ознакомившимся и безоговорочно принявшим условия настоящего Соглашения в полном объеме без огран</w:t>
      </w:r>
      <w:r>
        <w:rPr>
          <w:rFonts w:ascii="Times New Roman" w:hAnsi="Times New Roman" w:cs="Times New Roman"/>
          <w:highlight w:val="yellow"/>
        </w:rPr>
        <w:t xml:space="preserve">ичений в соответствии с п.3 ст.408 Гражданского Кодекса Республики Беларусь</w:t>
      </w:r>
      <w:r>
        <w:rPr>
          <w:rFonts w:ascii="Times New Roman" w:hAnsi="Times New Roman" w:cs="Times New Roman"/>
          <w:highlight w:val="yellow"/>
        </w:rPr>
        <w:t xml:space="preserve">. </w:t>
      </w:r>
      <w:r>
        <w:rPr>
          <w:rFonts w:ascii="Times New Roman" w:hAnsi="Times New Roman" w:cs="Times New Roman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52"/>
        <w:ind w:left="0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52"/>
        <w:ind w:left="0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52"/>
        <w:ind w:left="0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52"/>
        <w:ind w:left="0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52"/>
        <w:ind w:left="0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случае, если Пользователь не согласен полностью или в части с положениями настоящего Соглашения он не имеет права использовать материалы и сервисы Сайта, а также получать Услуги.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9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вправе в любой момент в одностороннем порядке и без какого-либо специального ув</w:t>
      </w:r>
      <w:r>
        <w:rPr>
          <w:rFonts w:ascii="Times New Roman" w:hAnsi="Times New Roman" w:cs="Times New Roman"/>
        </w:rPr>
        <w:t xml:space="preserve">едомления Пользователей внести изменения и/или дополнения в настоящее Соглашение, а также опубликовать обновленную версию Соглашения на Сайте. Изменения и/или дополнения, а равно обновленная версия настоящего Соглашения вступают в силу с момента их публика</w:t>
      </w:r>
      <w:r>
        <w:rPr>
          <w:rFonts w:ascii="Times New Roman" w:hAnsi="Times New Roman" w:cs="Times New Roman"/>
        </w:rPr>
        <w:t xml:space="preserve">ции на Сайте. В случае если Пользователь не согласен полностью или в части с измененными/дополненными положениями, а равно обновлённой версией Соглашения, он не имеет права использовать материалы и сервисы Сайта, а также пользоваться Услугами Организатора.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9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Если одно или несколько положений настоящего Соглашения являются или становятся недействительными в силу внесения изменений в действующее законодательство </w:t>
      </w:r>
      <w:r>
        <w:rPr>
          <w:rFonts w:ascii="Times New Roman" w:hAnsi="Times New Roman" w:cs="Times New Roman"/>
          <w:highlight w:val="yellow"/>
        </w:rPr>
        <w:t xml:space="preserve">Республики Беларусь</w:t>
      </w:r>
      <w:r>
        <w:rPr>
          <w:rFonts w:ascii="Times New Roman" w:hAnsi="Times New Roman" w:cs="Times New Roman"/>
          <w:highlight w:val="yellow"/>
        </w:rPr>
        <w:t xml:space="preserve"> или признанием их таковыми решением суда, вступившим в законную силу, указанное не влечет недействительность иных положений настоящего Соглашения.</w:t>
      </w:r>
      <w:r>
        <w:rPr>
          <w:rFonts w:ascii="Times New Roman" w:hAnsi="Times New Roman" w:cs="Times New Roman"/>
          <w:highlight w:val="yellow"/>
        </w:rPr>
      </w:r>
    </w:p>
    <w:p>
      <w:pPr>
        <w:pStyle w:val="952"/>
        <w:numPr>
          <w:ilvl w:val="1"/>
          <w:numId w:val="9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Условия использования материалов и сервисов Сайта, Услуг </w:t>
      </w:r>
      <w:r>
        <w:rPr>
          <w:rFonts w:ascii="Times New Roman" w:hAnsi="Times New Roman" w:cs="Times New Roman"/>
        </w:rPr>
        <w:t xml:space="preserve">Организатора  регулируются</w:t>
      </w:r>
      <w:r>
        <w:rPr>
          <w:rFonts w:ascii="Times New Roman" w:hAnsi="Times New Roman" w:cs="Times New Roman"/>
        </w:rPr>
        <w:t xml:space="preserve"> настоящим Соглашением и иными соглашениями (Политиками, Правилами), размещенными на Сайте.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9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Настоящее Соглашение действительно для лиц, приобретающих право на получение Услуг Организатора как посредством использования Сайта, так и непосредственно в Месте оказания услуг. 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9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Действующая редакция настоящего Соглашения размещена на Сайте в сети Интернет по адресу </w:t>
      </w:r>
      <w:hyperlink r:id="rId12" w:tooltip="https://warpoint.ru/rules" w:history="1">
        <w:r>
          <w:rPr>
            <w:rStyle w:val="950"/>
            <w:rFonts w:ascii="Times New Roman" w:hAnsi="Times New Roman" w:cs="Times New Roman"/>
            <w:color w:val="auto"/>
          </w:rPr>
          <w:t xml:space="preserve">https://warpoint.ru/rules</w:t>
        </w:r>
      </w:hyperlink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pStyle w:val="952"/>
        <w:ind w:left="0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0"/>
          <w:numId w:val="9"/>
        </w:num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Условия предоставления Услуг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0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получения Услуги Пользователь приобретает статус Участника в поряд</w:t>
      </w:r>
      <w:r>
        <w:rPr>
          <w:rFonts w:ascii="Times New Roman" w:hAnsi="Times New Roman" w:cs="Times New Roman"/>
        </w:rPr>
        <w:t xml:space="preserve">ке, указанном в разделе 4 настоящего Соглашения, и бронирует Сеанс. Лицо, желающее получить Услуги, также вправе обратиться непосредственно к Организатору в Месте оказания услуг, чтобы принять участие в Сеансе на ближайшее время при наличии свободных мест.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0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участию в Игре допускаются Участники, соответствующие Правилам допуска к игре в соответствии с разделом 4 настоящего Соглашения, забронировавшие и в полном объеме оплатившие Сеанс.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0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Часы работы Организатора и проведения Игр размещены на Сайте и в зоне информации на стенде в Месте оказания услуг.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0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Общий количественный сос</w:t>
      </w:r>
      <w:r>
        <w:rPr>
          <w:rFonts w:ascii="Times New Roman" w:hAnsi="Times New Roman" w:cs="Times New Roman"/>
        </w:rPr>
        <w:t xml:space="preserve">тав Участников в Игре одновременно (в течение одного Сеанса) составляет не менее 2 и не более 10 человек. Максимальное число участников может зависеть от выбранной Игры. Продолжительность одного Сеанса составляет до 60 минут, включая подготовительный этап.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0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Осуществлением оплаты Сеанса Пользователь автоматически подтверждает, что он готов обеспечить присутствие на Игре Участников согласно п.2.4 настоящего Соглашения, соответствующих требованиям Правил допуска к игре и иным положениям настоящего Соглашения.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0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целях проведения надлежащей организации Игры Организатор вправе оказывать иные сопутствующие Услуги. Условия, порядок и стоимость оказания таких Услуг согласовывается Организатором и Пользователем/Участником дополнительно.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0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вправе организовывать различные стимулирующие мероприятия с целью привлечения внимания потенциальных Участников к Игре (акции, подарочные карты на участие и т.п.). Порядок и условия проведения стимулирующих меропр</w:t>
      </w:r>
      <w:r>
        <w:rPr>
          <w:rFonts w:ascii="Times New Roman" w:hAnsi="Times New Roman" w:cs="Times New Roman"/>
        </w:rPr>
        <w:t xml:space="preserve">иятий доводится до сведения Пользователя путем размещения соответствующей информации на Сайте, а также иными способами, определяемыми Организатором. Программы лояльности (стимулирующие мероприятия) Организатора размещены на Сайте в сети Интернет по адресу </w:t>
      </w:r>
      <w:hyperlink r:id="rId13" w:tooltip="https://warpoint.ru/action" w:history="1">
        <w:r>
          <w:rPr>
            <w:rStyle w:val="950"/>
            <w:rFonts w:ascii="Times New Roman" w:hAnsi="Times New Roman" w:cs="Times New Roman"/>
            <w:color w:val="auto"/>
          </w:rPr>
          <w:t xml:space="preserve">https://warpoint.ru/</w:t>
        </w:r>
        <w:r>
          <w:rPr>
            <w:rStyle w:val="950"/>
            <w:rFonts w:ascii="Times New Roman" w:hAnsi="Times New Roman" w:cs="Times New Roman"/>
            <w:color w:val="auto"/>
            <w:lang w:val="en-US"/>
          </w:rPr>
          <w:t xml:space="preserve">action</w:t>
        </w:r>
      </w:hyperlink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0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Сайт Организатора использует файлы </w:t>
      </w:r>
      <w:r>
        <w:rPr>
          <w:rFonts w:ascii="Times New Roman" w:hAnsi="Times New Roman" w:cs="Times New Roman"/>
        </w:rPr>
        <w:t xml:space="preserve">Cookie</w:t>
      </w:r>
      <w:r>
        <w:rPr>
          <w:rFonts w:ascii="Times New Roman" w:hAnsi="Times New Roman" w:cs="Times New Roman"/>
        </w:rPr>
        <w:t xml:space="preserve"> (небольшие текстовые файлы, в которых хранится информация о действиях Пользователя на Сайте и пользовательские настройки. Фалы сохраняются на компьютере или мобильном устройстве Пользователя. Срок хранения каждого </w:t>
      </w:r>
      <w:r>
        <w:rPr>
          <w:rFonts w:ascii="Times New Roman" w:hAnsi="Times New Roman" w:cs="Times New Roman"/>
        </w:rPr>
        <w:t xml:space="preserve">cookie</w:t>
      </w:r>
      <w:r>
        <w:rPr>
          <w:rFonts w:ascii="Times New Roman" w:hAnsi="Times New Roman" w:cs="Times New Roman"/>
        </w:rPr>
        <w:t xml:space="preserve"> зависит от</w:t>
      </w:r>
      <w:r>
        <w:rPr>
          <w:rFonts w:ascii="Times New Roman" w:hAnsi="Times New Roman" w:cs="Times New Roman"/>
        </w:rPr>
      </w:r>
    </w:p>
    <w:p>
      <w:pPr>
        <w:pStyle w:val="952"/>
        <w:ind w:left="0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его вида). Пройдя процедуру регистрации, Пользователь выражаете свое согласие на использование Сайтом </w:t>
      </w:r>
      <w:r>
        <w:rPr>
          <w:rFonts w:ascii="Times New Roman" w:hAnsi="Times New Roman" w:cs="Times New Roman"/>
        </w:rPr>
        <w:t xml:space="preserve">cookies</w:t>
      </w:r>
      <w:r>
        <w:rPr>
          <w:rFonts w:ascii="Times New Roman" w:hAnsi="Times New Roman" w:cs="Times New Roman"/>
        </w:rPr>
        <w:t xml:space="preserve">. Политика использования Организатором файлов </w:t>
      </w:r>
      <w:r>
        <w:rPr>
          <w:rFonts w:ascii="Times New Roman" w:hAnsi="Times New Roman" w:cs="Times New Roman"/>
        </w:rPr>
        <w:t xml:space="preserve">cookie</w:t>
      </w:r>
      <w:r>
        <w:rPr>
          <w:rFonts w:ascii="Times New Roman" w:hAnsi="Times New Roman" w:cs="Times New Roman"/>
        </w:rPr>
        <w:t xml:space="preserve"> размещена на Сайте в сети Интернет по адресу </w:t>
      </w:r>
      <w:hyperlink r:id="rId14" w:tooltip="https://warpoint.ru/cookie" w:history="1">
        <w:r>
          <w:rPr>
            <w:rStyle w:val="950"/>
            <w:rFonts w:ascii="Times New Roman" w:hAnsi="Times New Roman" w:cs="Times New Roman"/>
            <w:color w:val="auto"/>
          </w:rPr>
          <w:t xml:space="preserve">https://warpoint.ru/cookie</w:t>
        </w:r>
      </w:hyperlink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pStyle w:val="952"/>
        <w:ind w:left="0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0"/>
          <w:numId w:val="10"/>
        </w:num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Бронирование, оплата Услуг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1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Оказание Услуг по организации Игры возможно только при условии их полной предоплаты в установленном объеме в порядке, определяемом настоящим Соглашением.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1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бронировании Сеанса через Сайт Пользователь вводит свои данные и регистрирует участие в Игре для всех Участников. По факту успе</w:t>
      </w:r>
      <w:r>
        <w:rPr>
          <w:rFonts w:ascii="Times New Roman" w:hAnsi="Times New Roman" w:cs="Times New Roman"/>
        </w:rPr>
        <w:t xml:space="preserve">шного проведения бронирования Пользователь получает письмо от системы бронирования. Пользователь несёт полную ответственность за достоверность данных, указываемых при бронировании через Сайт, необходимых для идентификации Пользователя перед началом Сеанса.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1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Пользователь (Участники) оплачивают сумму в размере Стоимости Сеанса в Месте оказания услуг или посредством сторонних платежных сервисов, доступ к которым предоставлен Организатором (например, посредством интернет-эквайринга).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1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Бронирование Сеанса осуществляется в период не ранее двух недель до момента его проведения (при наличии возможности – ранее).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1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участия в Игре на доступный</w:t>
      </w:r>
      <w:r>
        <w:rPr>
          <w:rFonts w:ascii="Times New Roman" w:hAnsi="Times New Roman" w:cs="Times New Roman"/>
        </w:rPr>
        <w:t xml:space="preserve"> для бронирования Сеанс указывается на Сайте и включает в себя стоимость участия для одного игрока. Стоимость для всех Участников рассчитывается исходя из количества, указанного Пользователем при бронировании и в соответствии с п.2.4 настоящего Соглашения.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1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Оплата стоимости Услуг может осуществляться Пользователем или иным лицом по поручению Пользователя. При этом Сеанс бронируется на Пользователя, данные которого были указаны при регистрации на Сайте.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1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Бронирование Сеанса может быть перенесено на другую свободную дату или отменено не позднее чем за 24 часа до времени первоначально забронированного Сеанса.</w:t>
      </w:r>
      <w:r>
        <w:rPr>
          <w:rFonts w:ascii="Times New Roman" w:hAnsi="Times New Roman" w:cs="Times New Roman"/>
        </w:rPr>
      </w:r>
    </w:p>
    <w:p>
      <w:pPr>
        <w:pStyle w:val="952"/>
        <w:ind w:left="0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0"/>
          <w:numId w:val="11"/>
        </w:num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Правила допуска к участию в Игре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2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участию в Игре допускаются лица от 8 лет.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2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Участие в Игре лиц в возрасте от 8 до 13 лет (включительно) допускается только с письменного согласия и в присутствии родителей (законных представителей).</w:t>
      </w:r>
      <w:r>
        <w:rPr>
          <w:rFonts w:ascii="Times New Roman" w:hAnsi="Times New Roman" w:cs="Times New Roman"/>
        </w:rPr>
        <w:t xml:space="preserve"> Форма Согласия родителей (законных представителей) на участие в Игре размещено на Сайте в сети Интернет по адресу </w:t>
      </w:r>
      <w:hyperlink r:id="rId15" w:tooltip="https://clck.ru/rdWjd" w:history="1">
        <w:r>
          <w:rPr>
            <w:rFonts w:ascii="Times New Roman" w:hAnsi="Times New Roman" w:cs="Times New Roman"/>
          </w:rPr>
          <w:t xml:space="preserve">https://clck.ru/rdWjd</w:t>
        </w:r>
      </w:hyperlink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2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Участие в Игре лиц в возрасте от 14 до 17 лет (включительно) допускается </w:t>
      </w:r>
      <w:r>
        <w:rPr>
          <w:rFonts w:ascii="Times New Roman" w:hAnsi="Times New Roman" w:cs="Times New Roman"/>
        </w:rPr>
        <w:t xml:space="preserve">без</w:t>
      </w:r>
      <w:r>
        <w:rPr>
          <w:rFonts w:ascii="Times New Roman" w:hAnsi="Times New Roman" w:cs="Times New Roman"/>
        </w:rPr>
        <w:t xml:space="preserve"> письменного согласия родителей (законных представителей). 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2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Физическое, а также психологическое состояние Участника должно соответствовать условиям и порядку проведения Игры и участия в ней.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2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Запрещается допуск к участию в Игре следующих категорий лиц: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0"/>
          <w:numId w:val="16"/>
        </w:numPr>
        <w:ind w:left="0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 с ограниченными возможностями здоровья,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0"/>
          <w:numId w:val="16"/>
        </w:numPr>
        <w:ind w:left="0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 с психическими расстройствами любого рода в любом проявлении,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0"/>
          <w:numId w:val="16"/>
        </w:numPr>
        <w:ind w:left="0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 в состоянии алкогольного и/или наркотического опьянения,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0"/>
          <w:numId w:val="16"/>
        </w:numPr>
        <w:ind w:left="0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 в пачкающей или грязной одежде, без обуви,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0"/>
          <w:numId w:val="16"/>
        </w:numPr>
        <w:ind w:left="0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агрессивно настроенных лиц,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0"/>
          <w:numId w:val="16"/>
        </w:numPr>
        <w:ind w:left="0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лиц, не соблюдающих какие-либо иные условия настоящего Соглашения или не соответствующих указанным в настоящем Соглашении требованиям,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0"/>
          <w:numId w:val="16"/>
        </w:numPr>
        <w:ind w:left="0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любых иных лиц, в о</w:t>
      </w:r>
      <w:r>
        <w:rPr>
          <w:rFonts w:ascii="Times New Roman" w:hAnsi="Times New Roman" w:cs="Times New Roman"/>
        </w:rPr>
        <w:t xml:space="preserve">тношении которых существует вероятность того, что участие в Игре может спровоцировать риск возникновения какого-либо рода негативных последствий как для самого Участника, так и для Организатора (в том числе негативных последствий имущественного характера).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2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вправе запросить у Участника (его законного представителя) документальное подтверждение того, что он соответствует критериям участия согласно п.4.1 - 4.3 настоящего Соглашения.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2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Непосредственно перед проведением Игры Организатор проводит инструктаж с Участниками и их законными представителями (в случае если Участник не достиг возраста 1</w:t>
      </w:r>
      <w:r>
        <w:rPr>
          <w:rFonts w:ascii="Times New Roman" w:hAnsi="Times New Roman" w:cs="Times New Roman"/>
        </w:rPr>
        <w:t xml:space="preserve">4</w:t>
      </w:r>
      <w:r>
        <w:rPr>
          <w:rFonts w:ascii="Times New Roman" w:hAnsi="Times New Roman" w:cs="Times New Roman"/>
        </w:rPr>
        <w:t xml:space="preserve"> лет и законный представитель также присутствует в М</w:t>
      </w:r>
      <w:r>
        <w:rPr>
          <w:rFonts w:ascii="Times New Roman" w:hAnsi="Times New Roman" w:cs="Times New Roman"/>
        </w:rPr>
        <w:t xml:space="preserve">есте оказания услуг) с целью более подробного описания правил проведения и участия в Игре, а также определения риска возникновения для Участников каких-либо негативных последствий по факту участия в Игре в соответствии с п.4.4 – 4.5. настоящего Соглашения.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2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сохраняет за собой безусловное право отказать в оказании Услуг, в случае если у него возникают подозрения в отношении достоверности сообщаемых Участником (его законным представителем) </w:t>
      </w:r>
      <w:r>
        <w:rPr>
          <w:rFonts w:ascii="Times New Roman" w:hAnsi="Times New Roman" w:cs="Times New Roman"/>
        </w:rPr>
        <w:t xml:space="preserve">данных, предусмотренных п.4.1. – 4.3. настоящего Соглашения, а также в случае, если по итогам проводимого согласно п.4.7. Соглашения инструктажа Организатор выявил риск возникновения для Участников каких-либо негативных последствий по факту участия в Игре.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2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 и/или его законный представитель вправе самостоятельно принять решение об отказе в участии в Игре в любой момент времени без объяснения причин при соблюдении условий, предусмотренных п.3.7. настоящего Соглашения.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2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если Организатор отказывает в оказании Услуг до момента начала Сеанса Игры, Организатор не взимает оплату за Услуги, за исключением случая, оговоренного в п.3.7 настоящего Соглашения.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2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если Участником нарушены </w:t>
      </w:r>
      <w:r>
        <w:rPr>
          <w:rFonts w:ascii="Times New Roman" w:hAnsi="Times New Roman" w:cs="Times New Roman"/>
        </w:rPr>
        <w:t xml:space="preserve">условия Соглашения или Участником (его законным представителем) предоставлена недостоверная информация в соответствии с п.4.1. - 4.3. настоящего Соглашения, которая опровергнута на основании представленных согласно п.4.6. документов или иных доказательств,</w:t>
      </w:r>
      <w:r>
        <w:rPr>
          <w:rFonts w:ascii="Times New Roman" w:hAnsi="Times New Roman" w:cs="Times New Roman"/>
        </w:rPr>
        <w:t xml:space="preserve"> или Участник или его законный представитель добровольно отказался от участия в Игре после оплаты Сеанса, Организатор взимает с Пользователя неустойку за отказ от оказания Услуг в размере полной стоимости оплаченных Услуг, которые должны были быть оказаны.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2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 прибывает в Место оказания Услуг не позднее чем за 15 минут до начала забронированного Сеанса. При опоздании свыше 10 минут после начала забронированного Сеанса Сеанс отменяется.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2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участия в Игре Участник предъявляет электронный билет (e-</w:t>
      </w:r>
      <w:r>
        <w:rPr>
          <w:rFonts w:ascii="Times New Roman" w:hAnsi="Times New Roman" w:cs="Times New Roman"/>
        </w:rPr>
        <w:t xml:space="preserve">mail</w:t>
      </w:r>
      <w:r>
        <w:rPr>
          <w:rFonts w:ascii="Times New Roman" w:hAnsi="Times New Roman" w:cs="Times New Roman"/>
        </w:rPr>
        <w:t xml:space="preserve"> или смс-уведомление с подтверждением бронирования), в случае если бронирование Сеанса осуществлялось через Сайт.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2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Участники, не достигшие возраста 14 лет, прибывают и находятся в Месте оказания услуг вместе со своим законным предс</w:t>
      </w:r>
      <w:r>
        <w:rPr>
          <w:rFonts w:ascii="Times New Roman" w:hAnsi="Times New Roman" w:cs="Times New Roman"/>
        </w:rPr>
        <w:t xml:space="preserve">тавителем. Если участие в Игре предполагает, что Участник в возрасте до 14 лет будет оставлен без присмотра законных представителей, Участник не допускается к участию в Игре, Организатор имеет право отказать в оказании Услуг без возмещения стоимости Услуг.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2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Участники в возрасте от 14 до 18 лет </w:t>
      </w:r>
      <w:r>
        <w:rPr>
          <w:rFonts w:ascii="Times New Roman" w:hAnsi="Times New Roman" w:cs="Times New Roman"/>
        </w:rPr>
        <w:t xml:space="preserve">могут прибывать в Место оказания услуг без своих законных представителей. 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2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участия в Игре Участники обязаны выполнить необходимые организационные и гигиенические требования Организатора, а также требования по обеспечению личной безопасности.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2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 время участия в Игре запрещается курить, принимать пищу или напитки. Участники, нарушающие данные требования, до участия в Игре не допускаются.</w:t>
      </w:r>
      <w:r>
        <w:rPr>
          <w:rFonts w:ascii="Times New Roman" w:hAnsi="Times New Roman" w:cs="Times New Roman"/>
        </w:rPr>
      </w:r>
    </w:p>
    <w:p>
      <w:pPr>
        <w:ind w:hanging="851"/>
        <w:jc w:val="center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52"/>
        <w:numPr>
          <w:ilvl w:val="0"/>
          <w:numId w:val="12"/>
        </w:numPr>
        <w:jc w:val="center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Основные правила безопасности при участии в Игре </w:t>
      </w:r>
      <w:r>
        <w:rPr>
          <w:rFonts w:ascii="Times New Roman" w:hAnsi="Times New Roman" w:cs="Times New Roman"/>
          <w:b/>
          <w:bCs/>
        </w:rPr>
      </w:r>
    </w:p>
    <w:p>
      <w:pPr>
        <w:pStyle w:val="952"/>
        <w:ind w:left="36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52"/>
        <w:numPr>
          <w:ilvl w:val="1"/>
          <w:numId w:val="12"/>
        </w:numPr>
        <w:ind w:left="0" w:hanging="851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 время Игры запрещается: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0"/>
          <w:numId w:val="17"/>
        </w:numPr>
        <w:ind w:left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бегать и быстро перемещаться; </w:t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0"/>
          <w:numId w:val="17"/>
        </w:numPr>
        <w:ind w:left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ложиться на пол; 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0"/>
          <w:numId w:val="17"/>
        </w:numPr>
        <w:ind w:left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проходить сквозь виртуальные стены и защитные виртуальные сетки; 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0"/>
          <w:numId w:val="17"/>
        </w:numPr>
        <w:ind w:left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самостоятельно снимать </w:t>
      </w:r>
      <w:r>
        <w:rPr>
          <w:rFonts w:ascii="Times New Roman" w:hAnsi="Times New Roman" w:cs="Times New Roman"/>
        </w:rPr>
        <w:t xml:space="preserve">vr</w:t>
      </w:r>
      <w:r>
        <w:rPr>
          <w:rFonts w:ascii="Times New Roman" w:hAnsi="Times New Roman" w:cs="Times New Roman"/>
        </w:rPr>
        <w:t xml:space="preserve">-шлем; 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0"/>
          <w:numId w:val="17"/>
        </w:numPr>
        <w:ind w:left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перемещаться спиной вперед; 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0"/>
          <w:numId w:val="17"/>
        </w:numPr>
        <w:ind w:left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подходить вплотную к другим игрокам.</w:t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0"/>
          <w:numId w:val="12"/>
        </w:numPr>
        <w:jc w:val="center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Условия использования материалов и сервисов Сайта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</w:r>
    </w:p>
    <w:p>
      <w:pPr>
        <w:pStyle w:val="952"/>
        <w:numPr>
          <w:ilvl w:val="1"/>
          <w:numId w:val="12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Пользователь обязан внимательно ознакомиться с настоящим Соглашением.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2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вправе посылать Пользователям на указанные в Профиле электронный почтовый адрес (e-</w:t>
      </w:r>
      <w:r>
        <w:rPr>
          <w:rFonts w:ascii="Times New Roman" w:hAnsi="Times New Roman" w:cs="Times New Roman"/>
        </w:rPr>
        <w:t xml:space="preserve">mail</w:t>
      </w:r>
      <w:r>
        <w:rPr>
          <w:rFonts w:ascii="Times New Roman" w:hAnsi="Times New Roman" w:cs="Times New Roman"/>
        </w:rPr>
        <w:t xml:space="preserve">) и телефонный номер сообщения информационного и рекламного характера (рассылки). Пользователь вправе отказаться от получения рассылок путем обращения к Организатору с письменным заявлением в свободной форме.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2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в одностороннем порядке вправе устанавливать ограничения в использовании материалов и сервисов Сайта как для всех Пользователей, так и для отдельных категорий Пользователей.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2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Пользователь не имеет права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Сайта.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2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Пользователь не имеет права нарушать систему безопасности или аутентификации на Сайте или в любой сети, относящейся к Сайту или Организатору.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2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  <w:highlight w:val="yellow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highlight w:val="yellow"/>
        </w:rPr>
        <w:t xml:space="preserve">Пользователь не имеет права использовать Сайт и его содержание в любых целях, запрещенных законодательством </w:t>
      </w:r>
      <w:r>
        <w:rPr>
          <w:rFonts w:ascii="Times New Roman" w:hAnsi="Times New Roman" w:cs="Times New Roman"/>
          <w:highlight w:val="yellow"/>
        </w:rPr>
        <w:t xml:space="preserve">Республики Беларусь</w:t>
      </w:r>
      <w:r>
        <w:rPr>
          <w:rFonts w:ascii="Times New Roman" w:hAnsi="Times New Roman" w:cs="Times New Roman"/>
          <w:highlight w:val="yellow"/>
        </w:rPr>
        <w:t xml:space="preserve">, а также подстрекать к любой незаконной деятельности или другой деятельности, нарушающей права Организатора и/или других лиц.</w:t>
      </w:r>
      <w:r>
        <w:rPr>
          <w:rFonts w:ascii="Times New Roman" w:hAnsi="Times New Roman" w:cs="Times New Roman"/>
          <w:highlight w:val="yellow"/>
        </w:rPr>
      </w:r>
    </w:p>
    <w:p>
      <w:pPr>
        <w:pStyle w:val="952"/>
        <w:numPr>
          <w:ilvl w:val="1"/>
          <w:numId w:val="12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объекты, доступные при использовании Сайта, в том числе элементы дизайна, текст, графические изображения, иллюстрации, видео, программы для ЭВМ, </w:t>
      </w:r>
      <w:r>
        <w:rPr>
          <w:rFonts w:ascii="Times New Roman" w:hAnsi="Times New Roman" w:cs="Times New Roman"/>
        </w:rPr>
        <w:t xml:space="preserve">базы данных, музыка, звуки и другие объекты, размещенные на Сайте (далее совместно — «Контент»), являются объектами исключительных прав Организатора и других правообладателей. Любое использование Контента без согласия его правообладателей строго запрещено.</w:t>
      </w:r>
      <w:r>
        <w:rPr>
          <w:rFonts w:ascii="Times New Roman" w:hAnsi="Times New Roman" w:cs="Times New Roman"/>
        </w:rPr>
      </w:r>
    </w:p>
    <w:p>
      <w:pPr>
        <w:pStyle w:val="952"/>
        <w:ind w:left="0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0"/>
          <w:numId w:val="12"/>
        </w:numPr>
        <w:jc w:val="center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Персональные данные и политика конфиденциальности</w:t>
      </w:r>
      <w:r>
        <w:rPr>
          <w:rFonts w:ascii="Times New Roman" w:hAnsi="Times New Roman" w:cs="Times New Roman"/>
          <w:b/>
          <w:bCs/>
        </w:rPr>
      </w:r>
    </w:p>
    <w:p>
      <w:pPr>
        <w:pStyle w:val="952"/>
        <w:ind w:left="36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52"/>
        <w:numPr>
          <w:ilvl w:val="1"/>
          <w:numId w:val="12"/>
        </w:numPr>
        <w:ind w:left="0" w:hanging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Политика конфиденциальности Организатора (Политика Организатора в отношении обработки персональных данных) размещена на Сайте в сети Интернет по адресу </w:t>
      </w:r>
      <w:hyperlink r:id="rId16" w:tooltip="https://warpoint.ru/policy" w:history="1">
        <w:r>
          <w:rPr>
            <w:rStyle w:val="950"/>
            <w:rFonts w:ascii="Times New Roman" w:hAnsi="Times New Roman" w:cs="Times New Roman"/>
            <w:color w:val="auto"/>
          </w:rPr>
          <w:t xml:space="preserve">https://warpoint.ru/policy</w:t>
        </w:r>
      </w:hyperlink>
      <w:r>
        <w:rPr>
          <w:rFonts w:ascii="Times New Roman" w:hAnsi="Times New Roman" w:cs="Times New Roman"/>
        </w:rPr>
        <w:t xml:space="preserve"> . 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2"/>
        </w:numPr>
        <w:ind w:left="0" w:hanging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не производит дополнительные проверки Персональных данных, предоставленных Пользователем при регистрации на Сайте, исходя из принципа доверия к Пользователю. 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2"/>
        </w:numPr>
        <w:ind w:left="0" w:hanging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Пользователь самостоятельно несет полную ответственность за негативные последствия, наступившие вследствие предоставления им недостоверной информации при регистрации на Сайте Организатора.</w:t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8. Ответственность. Ограничение ответственности.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8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Пользователь, Участник и его законный представитель самостоятельно оценивают свои способности и возможность участия в Игре. Ответственность за принятое Участником или его законным представителем решения касатель</w:t>
      </w:r>
      <w:r>
        <w:rPr>
          <w:rFonts w:ascii="Times New Roman" w:hAnsi="Times New Roman" w:cs="Times New Roman"/>
        </w:rPr>
        <w:t xml:space="preserve">но получения Услуг, в том числе по вопросу бронирования Сеанса и/или участия (права на участие) в Игре (включая предоставление подложных документов, подписей или иной недостоверной информации) в любом случае несет Участник и/или его законный представитель.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8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момента бронирования Сеанса или до оплаты стоимости участия в Игре непосредственно в Месте оказания услуг Пользователь, Участник и/или его законные представит</w:t>
      </w:r>
      <w:r>
        <w:rPr>
          <w:rFonts w:ascii="Times New Roman" w:hAnsi="Times New Roman" w:cs="Times New Roman"/>
        </w:rPr>
        <w:t xml:space="preserve">ель вправе запрашивать у Организатора необходимую информацию, разъяснения и комментарии по любым вопросам, связанным с порядком оказания Услуг, особенностями участия в Игре определенными лицами, иными существенными условия предоставления и получения Услуг.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8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вправе отказать в предоставлении ответов на какие-либо вопросы в соответствии с п.8.2. настоящего Соглашения, в случае если они не связаны с получением информации Пользователем, Участн</w:t>
      </w:r>
      <w:r>
        <w:rPr>
          <w:rFonts w:ascii="Times New Roman" w:hAnsi="Times New Roman" w:cs="Times New Roman"/>
        </w:rPr>
        <w:t xml:space="preserve">иком или его законным представителем как потребителями, а преследуют цель сбора информации о деятельности Организатора как предпринимателя, и такая информации не подлежит в обязательном порядке раскрытию на основании положений применимого законодательства.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8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действия, предпринимаемые Участниками в Игре, осуществляются ими самостоятельно под полную ответственность самих Участников или уполномоченных лиц.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8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причинения вреда имуществу Организатора или иных лиц, используемого при проведении Игры, Участник или его законный представитель обязуется незамедлительно компенсировать стоимость такого имущества.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8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материалы и сервисы Сайта предоставл</w:t>
      </w:r>
      <w:r>
        <w:rPr>
          <w:rFonts w:ascii="Times New Roman" w:hAnsi="Times New Roman" w:cs="Times New Roman"/>
        </w:rPr>
        <w:t xml:space="preserve">яется в исходном виде, без гарантий полноты или своевременности и без иных, явно выраженных или подразумеваемых гарантий. Доступ к Сайту, а также использование его материалов и сервисов осуществляются исключительно по усмотрению Пользователя и на его риск.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8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не несет никакой ответственности за любые ошибки, опечатки и неточности, которые могут быть обнаружены в материалах, содержащихся на Сайте.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8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Некоторые ссылки на Сайте ведут к ресурсам, расположенным на сторонних сайтах. Данные ссылки размещены для удобства Пользователей и не означают, что Организатор одобряет содержание других сайтов или каким-либо образом поощряет действия и</w:t>
      </w:r>
      <w:r>
        <w:rPr>
          <w:rFonts w:ascii="Times New Roman" w:hAnsi="Times New Roman" w:cs="Times New Roman"/>
        </w:rPr>
        <w:t xml:space="preserve">х владельцев. Кроме этого, Организатор не несет никакой ответственности за доступность этих ресурсов и за их контент. Это заявление относится ко всем ссылкам, представленным на Сайте, и материалам всех веб-сайтов, доступных через баннеры и ссылки на Сайте.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8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не несет ответственности за возможные противоправные действия Пользователя или Участника относительно третьих лиц, либо третьих лиц относительно Пользователя или Участника при оказании Услуг, а также в результате их оказания.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8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не</w:t>
      </w:r>
      <w:r>
        <w:rPr>
          <w:rFonts w:ascii="Times New Roman" w:hAnsi="Times New Roman" w:cs="Times New Roman"/>
        </w:rPr>
        <w:t xml:space="preserve"> несет ответственности за ущерб, убытки или расходы (реальные либо возможные), возникшие в связи с Сайтом, его использованием или невозможностью использования, а также за неполное, неточное, некорректное указание Пользователем своих данных при регистрации.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8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не несет ответственности за задержки или сбои в процессе оказания Услуг или любой их части,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8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не несет ответственности за действия систем переводов, банков, платежных систем и за задержки, связанные с их работой, в случае если оплата Услуг осуществляется при участии указанных систем и структур.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8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возникновении любых сомнений в отношении того, кто является надлежащим получателем Услуг, окончательное решение принимает Организатор.</w:t>
      </w:r>
      <w:r>
        <w:rPr>
          <w:rFonts w:ascii="Times New Roman" w:hAnsi="Times New Roman" w:cs="Times New Roman"/>
        </w:rPr>
      </w:r>
    </w:p>
    <w:p>
      <w:pPr>
        <w:pStyle w:val="952"/>
        <w:numPr>
          <w:ilvl w:val="1"/>
          <w:numId w:val="18"/>
        </w:numPr>
        <w:ind w:left="0"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не участвует во в</w:t>
      </w:r>
      <w:r>
        <w:rPr>
          <w:rFonts w:ascii="Times New Roman" w:hAnsi="Times New Roman" w:cs="Times New Roman"/>
        </w:rPr>
        <w:t xml:space="preserve">заимоотношениях Пользователя и/или Участника и/или его законного представителя и/или любого иного лица, которое осуществило оплату, однако по причинам, не зависящим от Организатора, не приняло в Игре и/или не получило иные Услуги, уступило свои права на уч</w:t>
      </w:r>
      <w:r>
        <w:rPr>
          <w:rFonts w:ascii="Times New Roman" w:hAnsi="Times New Roman" w:cs="Times New Roman"/>
        </w:rPr>
        <w:t xml:space="preserve">астие в Игре или иным способом выразило волю отказа от участия в Игре или уступке своих прав на участие в Игре иному лицу. При возникновении сомнений в отношении лица, управомоченного на участие в Игре, Организатор вправе руководствоваться тем, что управом</w:t>
      </w:r>
      <w:r>
        <w:rPr>
          <w:rFonts w:ascii="Times New Roman" w:hAnsi="Times New Roman" w:cs="Times New Roman"/>
        </w:rPr>
        <w:t xml:space="preserve">оченным лицом является лицо, предъявившее электронный билет, и при необходимости возврата стоимости Услуг в оговоренных настоящим Соглашением случаях Организатор вправе возвратить соответствующую стоимость именно данному лицу (его законному представителю).</w:t>
      </w:r>
      <w:r>
        <w:rPr>
          <w:rFonts w:ascii="Times New Roman" w:hAnsi="Times New Roman" w:cs="Times New Roman"/>
        </w:rPr>
      </w:r>
    </w:p>
    <w:p>
      <w:pPr>
        <w:ind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</w:r>
    </w:p>
    <w:p>
      <w:pPr>
        <w:ind w:hanging="851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</w:pPr>
    <w:r>
      <w:rPr>
        <w:rFonts w:ascii="Times New Roman" w:hAnsi="Times New Roman" w:cs="Times New Roman"/>
        <w:sz w:val="24"/>
        <w:szCs w:val="24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4294443520" behindDoc="1" locked="0" layoutInCell="0" allowOverlap="1">
              <wp:simplePos x="0" y="0"/>
              <wp:positionH relativeFrom="margin">
                <wp:posOffset>-1083309</wp:posOffset>
              </wp:positionH>
              <wp:positionV relativeFrom="margin">
                <wp:posOffset>-723264</wp:posOffset>
              </wp:positionV>
              <wp:extent cx="7557135" cy="10689590"/>
              <wp:effectExtent l="0" t="0" r="0" b="0"/>
              <wp:wrapNone/>
              <wp:docPr id="1" name="WordPictureWatermark10193920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57135" cy="10689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WordPictureWatermark101939205" o:spid="_x0000_s0" type="#_x0000_t75" style="position:absolute;z-index:-4294443520;o:allowoverlap:true;o:allowincell:false;mso-position-horizontal-relative:margin;margin-left:-85.30pt;mso-position-horizontal:absolute;mso-position-vertical-relative:margin;margin-top:-56.95pt;mso-position-vertical:absolute;width:595.05pt;height:841.70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</w:pP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2170" cy="8399780"/>
              <wp:effectExtent l="0" t="0" r="0" b="0"/>
              <wp:wrapNone/>
              <wp:docPr id="2" name="Рисунок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32170" cy="8399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251657728;o:allowoverlap:true;o:allowincell:false;mso-position-horizontal-relative:margin;mso-position-horizontal:center;mso-position-vertical-relative:margin;mso-position-vertical:center;width:467.10pt;height:661.40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</w:pP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670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2170" cy="8399780"/>
              <wp:effectExtent l="0" t="0" r="0" b="0"/>
              <wp:wrapNone/>
              <wp:docPr id="3" name="Рисунок 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32170" cy="8399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z-index:-251656704;o:allowoverlap:true;o:allowincell:false;mso-position-horizontal-relative:margin;mso-position-horizontal:center;mso-position-vertical-relative:margin;mso-position-vertical:center;width:467.10pt;height:661.40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44" w:hanging="444"/>
      </w:pPr>
      <w:rPr>
        <w:rFonts w:hint="default"/>
      </w:rPr>
    </w:lvl>
    <w:lvl w:ilvl="1">
      <w:start w:val="34"/>
      <w:numFmt w:val="decimal"/>
      <w:isLgl w:val="false"/>
      <w:suff w:val="tab"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-13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5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3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0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7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4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1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49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629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16"/>
  </w:num>
  <w:num w:numId="5">
    <w:abstractNumId w:val="1"/>
  </w:num>
  <w:num w:numId="6">
    <w:abstractNumId w:val="9"/>
  </w:num>
  <w:num w:numId="7">
    <w:abstractNumId w:val="6"/>
  </w:num>
  <w:num w:numId="8">
    <w:abstractNumId w:val="4"/>
  </w:num>
  <w:num w:numId="9">
    <w:abstractNumId w:val="17"/>
  </w:num>
  <w:num w:numId="10">
    <w:abstractNumId w:val="11"/>
  </w:num>
  <w:num w:numId="11">
    <w:abstractNumId w:val="10"/>
  </w:num>
  <w:num w:numId="12">
    <w:abstractNumId w:val="3"/>
  </w:num>
  <w:num w:numId="13">
    <w:abstractNumId w:val="7"/>
  </w:num>
  <w:num w:numId="14">
    <w:abstractNumId w:val="8"/>
  </w:num>
  <w:num w:numId="15">
    <w:abstractNumId w:val="2"/>
  </w:num>
  <w:num w:numId="16">
    <w:abstractNumId w:val="13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3" w:default="1">
    <w:name w:val="Normal"/>
    <w:qFormat/>
  </w:style>
  <w:style w:type="paragraph" w:styleId="754">
    <w:name w:val="Heading 1"/>
    <w:basedOn w:val="753"/>
    <w:next w:val="753"/>
    <w:link w:val="7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5">
    <w:name w:val="Heading 2"/>
    <w:basedOn w:val="753"/>
    <w:next w:val="753"/>
    <w:link w:val="7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6">
    <w:name w:val="Heading 3"/>
    <w:basedOn w:val="753"/>
    <w:next w:val="753"/>
    <w:link w:val="7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7">
    <w:name w:val="Heading 4"/>
    <w:basedOn w:val="753"/>
    <w:next w:val="753"/>
    <w:link w:val="7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8">
    <w:name w:val="Heading 5"/>
    <w:basedOn w:val="753"/>
    <w:next w:val="753"/>
    <w:link w:val="7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9">
    <w:name w:val="Heading 6"/>
    <w:basedOn w:val="753"/>
    <w:next w:val="753"/>
    <w:link w:val="7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60">
    <w:name w:val="Heading 7"/>
    <w:basedOn w:val="753"/>
    <w:next w:val="753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61">
    <w:name w:val="Heading 8"/>
    <w:basedOn w:val="753"/>
    <w:next w:val="753"/>
    <w:link w:val="7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62">
    <w:name w:val="Heading 9"/>
    <w:basedOn w:val="753"/>
    <w:next w:val="753"/>
    <w:link w:val="7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3" w:default="1">
    <w:name w:val="Default Paragraph Font"/>
    <w:uiPriority w:val="1"/>
    <w:semiHidden/>
    <w:unhideWhenUsed/>
  </w:style>
  <w:style w:type="table" w:styleId="7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5" w:default="1">
    <w:name w:val="No List"/>
    <w:uiPriority w:val="99"/>
    <w:semiHidden/>
    <w:unhideWhenUsed/>
  </w:style>
  <w:style w:type="character" w:styleId="766" w:customStyle="1">
    <w:name w:val="Heading 1 Char"/>
    <w:basedOn w:val="763"/>
    <w:uiPriority w:val="9"/>
    <w:rPr>
      <w:rFonts w:ascii="Arial" w:hAnsi="Arial" w:eastAsia="Arial" w:cs="Arial"/>
      <w:sz w:val="40"/>
      <w:szCs w:val="40"/>
    </w:rPr>
  </w:style>
  <w:style w:type="character" w:styleId="767" w:customStyle="1">
    <w:name w:val="Heading 2 Char"/>
    <w:basedOn w:val="763"/>
    <w:uiPriority w:val="9"/>
    <w:rPr>
      <w:rFonts w:ascii="Arial" w:hAnsi="Arial" w:eastAsia="Arial" w:cs="Arial"/>
      <w:sz w:val="34"/>
    </w:rPr>
  </w:style>
  <w:style w:type="character" w:styleId="768" w:customStyle="1">
    <w:name w:val="Heading 3 Char"/>
    <w:basedOn w:val="763"/>
    <w:uiPriority w:val="9"/>
    <w:rPr>
      <w:rFonts w:ascii="Arial" w:hAnsi="Arial" w:eastAsia="Arial" w:cs="Arial"/>
      <w:sz w:val="30"/>
      <w:szCs w:val="30"/>
    </w:rPr>
  </w:style>
  <w:style w:type="character" w:styleId="769" w:customStyle="1">
    <w:name w:val="Heading 4 Char"/>
    <w:basedOn w:val="763"/>
    <w:uiPriority w:val="9"/>
    <w:rPr>
      <w:rFonts w:ascii="Arial" w:hAnsi="Arial" w:eastAsia="Arial" w:cs="Arial"/>
      <w:b/>
      <w:bCs/>
      <w:sz w:val="26"/>
      <w:szCs w:val="26"/>
    </w:rPr>
  </w:style>
  <w:style w:type="character" w:styleId="770" w:customStyle="1">
    <w:name w:val="Heading 5 Char"/>
    <w:basedOn w:val="763"/>
    <w:uiPriority w:val="9"/>
    <w:rPr>
      <w:rFonts w:ascii="Arial" w:hAnsi="Arial" w:eastAsia="Arial" w:cs="Arial"/>
      <w:b/>
      <w:bCs/>
      <w:sz w:val="24"/>
      <w:szCs w:val="24"/>
    </w:rPr>
  </w:style>
  <w:style w:type="character" w:styleId="771" w:customStyle="1">
    <w:name w:val="Heading 6 Char"/>
    <w:basedOn w:val="763"/>
    <w:uiPriority w:val="9"/>
    <w:rPr>
      <w:rFonts w:ascii="Arial" w:hAnsi="Arial" w:eastAsia="Arial" w:cs="Arial"/>
      <w:b/>
      <w:bCs/>
      <w:sz w:val="22"/>
      <w:szCs w:val="22"/>
    </w:rPr>
  </w:style>
  <w:style w:type="character" w:styleId="772" w:customStyle="1">
    <w:name w:val="Heading 7 Char"/>
    <w:basedOn w:val="7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3" w:customStyle="1">
    <w:name w:val="Heading 8 Char"/>
    <w:basedOn w:val="763"/>
    <w:uiPriority w:val="9"/>
    <w:rPr>
      <w:rFonts w:ascii="Arial" w:hAnsi="Arial" w:eastAsia="Arial" w:cs="Arial"/>
      <w:i/>
      <w:iCs/>
      <w:sz w:val="22"/>
      <w:szCs w:val="22"/>
    </w:rPr>
  </w:style>
  <w:style w:type="character" w:styleId="774" w:customStyle="1">
    <w:name w:val="Heading 9 Char"/>
    <w:basedOn w:val="763"/>
    <w:uiPriority w:val="9"/>
    <w:rPr>
      <w:rFonts w:ascii="Arial" w:hAnsi="Arial" w:eastAsia="Arial" w:cs="Arial"/>
      <w:i/>
      <w:iCs/>
      <w:sz w:val="21"/>
      <w:szCs w:val="21"/>
    </w:rPr>
  </w:style>
  <w:style w:type="character" w:styleId="775" w:customStyle="1">
    <w:name w:val="Title Char"/>
    <w:basedOn w:val="763"/>
    <w:uiPriority w:val="10"/>
    <w:rPr>
      <w:sz w:val="48"/>
      <w:szCs w:val="48"/>
    </w:rPr>
  </w:style>
  <w:style w:type="character" w:styleId="776" w:customStyle="1">
    <w:name w:val="Subtitle Char"/>
    <w:basedOn w:val="763"/>
    <w:uiPriority w:val="11"/>
    <w:rPr>
      <w:sz w:val="24"/>
      <w:szCs w:val="24"/>
    </w:rPr>
  </w:style>
  <w:style w:type="character" w:styleId="777" w:customStyle="1">
    <w:name w:val="Quote Char"/>
    <w:uiPriority w:val="29"/>
    <w:rPr>
      <w:i/>
    </w:rPr>
  </w:style>
  <w:style w:type="character" w:styleId="778" w:customStyle="1">
    <w:name w:val="Intense Quote Char"/>
    <w:uiPriority w:val="30"/>
    <w:rPr>
      <w:i/>
    </w:rPr>
  </w:style>
  <w:style w:type="character" w:styleId="779" w:customStyle="1">
    <w:name w:val="Header Char"/>
    <w:basedOn w:val="763"/>
    <w:uiPriority w:val="99"/>
  </w:style>
  <w:style w:type="character" w:styleId="780" w:customStyle="1">
    <w:name w:val="Caption Char"/>
    <w:uiPriority w:val="99"/>
  </w:style>
  <w:style w:type="character" w:styleId="781" w:customStyle="1">
    <w:name w:val="Footnote Text Char"/>
    <w:uiPriority w:val="99"/>
    <w:rPr>
      <w:sz w:val="18"/>
    </w:rPr>
  </w:style>
  <w:style w:type="character" w:styleId="782" w:customStyle="1">
    <w:name w:val="Endnote Text Char"/>
    <w:uiPriority w:val="99"/>
    <w:rPr>
      <w:sz w:val="20"/>
    </w:rPr>
  </w:style>
  <w:style w:type="character" w:styleId="783" w:customStyle="1">
    <w:name w:val="Заголовок 1 Знак"/>
    <w:basedOn w:val="763"/>
    <w:link w:val="754"/>
    <w:uiPriority w:val="9"/>
    <w:rPr>
      <w:rFonts w:ascii="Arial" w:hAnsi="Arial" w:eastAsia="Arial" w:cs="Arial"/>
      <w:sz w:val="40"/>
      <w:szCs w:val="40"/>
    </w:rPr>
  </w:style>
  <w:style w:type="character" w:styleId="784" w:customStyle="1">
    <w:name w:val="Заголовок 2 Знак"/>
    <w:basedOn w:val="763"/>
    <w:link w:val="755"/>
    <w:uiPriority w:val="9"/>
    <w:rPr>
      <w:rFonts w:ascii="Arial" w:hAnsi="Arial" w:eastAsia="Arial" w:cs="Arial"/>
      <w:sz w:val="34"/>
    </w:rPr>
  </w:style>
  <w:style w:type="character" w:styleId="785" w:customStyle="1">
    <w:name w:val="Заголовок 3 Знак"/>
    <w:basedOn w:val="763"/>
    <w:link w:val="756"/>
    <w:uiPriority w:val="9"/>
    <w:rPr>
      <w:rFonts w:ascii="Arial" w:hAnsi="Arial" w:eastAsia="Arial" w:cs="Arial"/>
      <w:sz w:val="30"/>
      <w:szCs w:val="30"/>
    </w:rPr>
  </w:style>
  <w:style w:type="character" w:styleId="786" w:customStyle="1">
    <w:name w:val="Заголовок 4 Знак"/>
    <w:basedOn w:val="763"/>
    <w:link w:val="757"/>
    <w:uiPriority w:val="9"/>
    <w:rPr>
      <w:rFonts w:ascii="Arial" w:hAnsi="Arial" w:eastAsia="Arial" w:cs="Arial"/>
      <w:b/>
      <w:bCs/>
      <w:sz w:val="26"/>
      <w:szCs w:val="26"/>
    </w:rPr>
  </w:style>
  <w:style w:type="character" w:styleId="787" w:customStyle="1">
    <w:name w:val="Заголовок 5 Знак"/>
    <w:basedOn w:val="763"/>
    <w:link w:val="758"/>
    <w:uiPriority w:val="9"/>
    <w:rPr>
      <w:rFonts w:ascii="Arial" w:hAnsi="Arial" w:eastAsia="Arial" w:cs="Arial"/>
      <w:b/>
      <w:bCs/>
      <w:sz w:val="24"/>
      <w:szCs w:val="24"/>
    </w:rPr>
  </w:style>
  <w:style w:type="character" w:styleId="788" w:customStyle="1">
    <w:name w:val="Заголовок 6 Знак"/>
    <w:basedOn w:val="763"/>
    <w:link w:val="759"/>
    <w:uiPriority w:val="9"/>
    <w:rPr>
      <w:rFonts w:ascii="Arial" w:hAnsi="Arial" w:eastAsia="Arial" w:cs="Arial"/>
      <w:b/>
      <w:bCs/>
      <w:sz w:val="22"/>
      <w:szCs w:val="22"/>
    </w:rPr>
  </w:style>
  <w:style w:type="character" w:styleId="789" w:customStyle="1">
    <w:name w:val="Заголовок 7 Знак"/>
    <w:basedOn w:val="763"/>
    <w:link w:val="7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0" w:customStyle="1">
    <w:name w:val="Заголовок 8 Знак"/>
    <w:basedOn w:val="763"/>
    <w:link w:val="761"/>
    <w:uiPriority w:val="9"/>
    <w:rPr>
      <w:rFonts w:ascii="Arial" w:hAnsi="Arial" w:eastAsia="Arial" w:cs="Arial"/>
      <w:i/>
      <w:iCs/>
      <w:sz w:val="22"/>
      <w:szCs w:val="22"/>
    </w:rPr>
  </w:style>
  <w:style w:type="character" w:styleId="791" w:customStyle="1">
    <w:name w:val="Заголовок 9 Знак"/>
    <w:basedOn w:val="763"/>
    <w:link w:val="762"/>
    <w:uiPriority w:val="9"/>
    <w:rPr>
      <w:rFonts w:ascii="Arial" w:hAnsi="Arial" w:eastAsia="Arial" w:cs="Arial"/>
      <w:i/>
      <w:iCs/>
      <w:sz w:val="21"/>
      <w:szCs w:val="21"/>
    </w:rPr>
  </w:style>
  <w:style w:type="paragraph" w:styleId="792">
    <w:name w:val="No Spacing"/>
    <w:uiPriority w:val="1"/>
    <w:qFormat/>
    <w:pPr>
      <w:spacing w:after="0" w:line="240" w:lineRule="auto"/>
    </w:pPr>
  </w:style>
  <w:style w:type="paragraph" w:styleId="793">
    <w:name w:val="Title"/>
    <w:basedOn w:val="753"/>
    <w:next w:val="753"/>
    <w:link w:val="7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4" w:customStyle="1">
    <w:name w:val="Заголовок Знак"/>
    <w:basedOn w:val="763"/>
    <w:link w:val="793"/>
    <w:uiPriority w:val="10"/>
    <w:rPr>
      <w:sz w:val="48"/>
      <w:szCs w:val="48"/>
    </w:rPr>
  </w:style>
  <w:style w:type="paragraph" w:styleId="795">
    <w:name w:val="Subtitle"/>
    <w:basedOn w:val="753"/>
    <w:next w:val="753"/>
    <w:link w:val="796"/>
    <w:uiPriority w:val="11"/>
    <w:qFormat/>
    <w:pPr>
      <w:spacing w:before="200" w:after="200"/>
    </w:pPr>
    <w:rPr>
      <w:sz w:val="24"/>
      <w:szCs w:val="24"/>
    </w:rPr>
  </w:style>
  <w:style w:type="character" w:styleId="796" w:customStyle="1">
    <w:name w:val="Подзаголовок Знак"/>
    <w:basedOn w:val="763"/>
    <w:link w:val="795"/>
    <w:uiPriority w:val="11"/>
    <w:rPr>
      <w:sz w:val="24"/>
      <w:szCs w:val="24"/>
    </w:rPr>
  </w:style>
  <w:style w:type="paragraph" w:styleId="797">
    <w:name w:val="Quote"/>
    <w:basedOn w:val="753"/>
    <w:next w:val="753"/>
    <w:link w:val="798"/>
    <w:uiPriority w:val="29"/>
    <w:qFormat/>
    <w:pPr>
      <w:ind w:left="720" w:right="720"/>
    </w:pPr>
    <w:rPr>
      <w:i/>
    </w:rPr>
  </w:style>
  <w:style w:type="character" w:styleId="798" w:customStyle="1">
    <w:name w:val="Цитата 2 Знак"/>
    <w:link w:val="797"/>
    <w:uiPriority w:val="29"/>
    <w:rPr>
      <w:i/>
    </w:rPr>
  </w:style>
  <w:style w:type="paragraph" w:styleId="799">
    <w:name w:val="Intense Quote"/>
    <w:basedOn w:val="753"/>
    <w:next w:val="753"/>
    <w:link w:val="8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0" w:customStyle="1">
    <w:name w:val="Выделенная цитата Знак"/>
    <w:link w:val="799"/>
    <w:uiPriority w:val="30"/>
    <w:rPr>
      <w:i/>
    </w:rPr>
  </w:style>
  <w:style w:type="paragraph" w:styleId="801">
    <w:name w:val="Header"/>
    <w:basedOn w:val="753"/>
    <w:link w:val="8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2" w:customStyle="1">
    <w:name w:val="Верхний колонтитул Знак"/>
    <w:basedOn w:val="763"/>
    <w:link w:val="801"/>
    <w:uiPriority w:val="99"/>
  </w:style>
  <w:style w:type="paragraph" w:styleId="803">
    <w:name w:val="Footer"/>
    <w:basedOn w:val="753"/>
    <w:link w:val="8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4" w:customStyle="1">
    <w:name w:val="Footer Char"/>
    <w:basedOn w:val="763"/>
    <w:uiPriority w:val="99"/>
  </w:style>
  <w:style w:type="paragraph" w:styleId="805">
    <w:name w:val="Caption"/>
    <w:basedOn w:val="753"/>
    <w:next w:val="75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806" w:customStyle="1">
    <w:name w:val="Нижний колонтитул Знак"/>
    <w:link w:val="803"/>
    <w:uiPriority w:val="99"/>
  </w:style>
  <w:style w:type="table" w:styleId="807">
    <w:name w:val="Table Grid"/>
    <w:basedOn w:val="7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8" w:customStyle="1">
    <w:name w:val="Table Grid Light"/>
    <w:basedOn w:val="7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9">
    <w:name w:val="Plain Table 1"/>
    <w:basedOn w:val="7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2"/>
    <w:basedOn w:val="7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>
    <w:name w:val="Plain Table 3"/>
    <w:basedOn w:val="7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2">
    <w:name w:val="Plain Table 4"/>
    <w:basedOn w:val="7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Plain Table 5"/>
    <w:basedOn w:val="7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4">
    <w:name w:val="Grid Table 1 Light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1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2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3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4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5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6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2"/>
    <w:basedOn w:val="7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1"/>
    <w:basedOn w:val="7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2"/>
    <w:basedOn w:val="7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3"/>
    <w:basedOn w:val="7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4"/>
    <w:basedOn w:val="7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5"/>
    <w:basedOn w:val="7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6"/>
    <w:basedOn w:val="7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"/>
    <w:basedOn w:val="7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1"/>
    <w:basedOn w:val="7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2"/>
    <w:basedOn w:val="7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3"/>
    <w:basedOn w:val="7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4"/>
    <w:basedOn w:val="7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5"/>
    <w:basedOn w:val="7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6"/>
    <w:basedOn w:val="7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4"/>
    <w:basedOn w:val="7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6" w:customStyle="1">
    <w:name w:val="Grid Table 4 - Accent 1"/>
    <w:basedOn w:val="7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37" w:customStyle="1">
    <w:name w:val="Grid Table 4 - Accent 2"/>
    <w:basedOn w:val="7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38" w:customStyle="1">
    <w:name w:val="Grid Table 4 - Accent 3"/>
    <w:basedOn w:val="7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9" w:customStyle="1">
    <w:name w:val="Grid Table 4 - Accent 4"/>
    <w:basedOn w:val="7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0" w:customStyle="1">
    <w:name w:val="Grid Table 4 - Accent 5"/>
    <w:basedOn w:val="7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41" w:customStyle="1">
    <w:name w:val="Grid Table 4 - Accent 6"/>
    <w:basedOn w:val="7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2">
    <w:name w:val="Grid Table 5 Dark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- Accent 1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2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3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- Accent 4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5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 - Accent 6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9">
    <w:name w:val="Grid Table 6 Colorful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0" w:customStyle="1">
    <w:name w:val="Grid Table 6 Colorful - Accent 1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51" w:customStyle="1">
    <w:name w:val="Grid Table 6 Colorful - Accent 2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2" w:customStyle="1">
    <w:name w:val="Grid Table 6 Colorful - Accent 3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3" w:customStyle="1">
    <w:name w:val="Grid Table 6 Colorful - Accent 4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4" w:customStyle="1">
    <w:name w:val="Grid Table 6 Colorful - Accent 5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55" w:customStyle="1">
    <w:name w:val="Grid Table 6 Colorful - Accent 6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56">
    <w:name w:val="Grid Table 7 Colorful"/>
    <w:basedOn w:val="7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Grid Table 7 Colorful - Accent 1"/>
    <w:basedOn w:val="7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Grid Table 7 Colorful - Accent 2"/>
    <w:basedOn w:val="7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Grid Table 7 Colorful - Accent 3"/>
    <w:basedOn w:val="7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Grid Table 7 Colorful - Accent 4"/>
    <w:basedOn w:val="7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Grid Table 7 Colorful - Accent 5"/>
    <w:basedOn w:val="7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Grid Table 7 Colorful - Accent 6"/>
    <w:basedOn w:val="7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>
    <w:name w:val="List Table 1 Light"/>
    <w:basedOn w:val="7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1"/>
    <w:basedOn w:val="7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2"/>
    <w:basedOn w:val="7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3"/>
    <w:basedOn w:val="7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4"/>
    <w:basedOn w:val="7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5"/>
    <w:basedOn w:val="7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6"/>
    <w:basedOn w:val="7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2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1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2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3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4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5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6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77">
    <w:name w:val="List Table 3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1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2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3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4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5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6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1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2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3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4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5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6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5 Dark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1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2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3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4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5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6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>
    <w:name w:val="List Table 6 Colorful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9" w:customStyle="1">
    <w:name w:val="List Table 6 Colorful - Accent 1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900" w:customStyle="1">
    <w:name w:val="List Table 6 Colorful - Accent 2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1" w:customStyle="1">
    <w:name w:val="List Table 6 Colorful - Accent 3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2" w:customStyle="1">
    <w:name w:val="List Table 6 Colorful - Accent 4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3" w:customStyle="1">
    <w:name w:val="List Table 6 Colorful - Accent 5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904" w:customStyle="1">
    <w:name w:val="List Table 6 Colorful - Accent 6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5">
    <w:name w:val="List Table 7 Colorful"/>
    <w:basedOn w:val="7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6" w:customStyle="1">
    <w:name w:val="List Table 7 Colorful - Accent 1"/>
    <w:basedOn w:val="7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7" w:customStyle="1">
    <w:name w:val="List Table 7 Colorful - Accent 2"/>
    <w:basedOn w:val="7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8" w:customStyle="1">
    <w:name w:val="List Table 7 Colorful - Accent 3"/>
    <w:basedOn w:val="7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9" w:customStyle="1">
    <w:name w:val="List Table 7 Colorful - Accent 4"/>
    <w:basedOn w:val="7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0" w:customStyle="1">
    <w:name w:val="List Table 7 Colorful - Accent 5"/>
    <w:basedOn w:val="7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1" w:customStyle="1">
    <w:name w:val="List Table 7 Colorful - Accent 6"/>
    <w:basedOn w:val="7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2" w:customStyle="1">
    <w:name w:val="Lined - Accent"/>
    <w:basedOn w:val="7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3" w:customStyle="1">
    <w:name w:val="Lined - Accent 1"/>
    <w:basedOn w:val="7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14" w:customStyle="1">
    <w:name w:val="Lined - Accent 2"/>
    <w:basedOn w:val="7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5" w:customStyle="1">
    <w:name w:val="Lined - Accent 3"/>
    <w:basedOn w:val="7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6" w:customStyle="1">
    <w:name w:val="Lined - Accent 4"/>
    <w:basedOn w:val="7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7" w:customStyle="1">
    <w:name w:val="Lined - Accent 5"/>
    <w:basedOn w:val="7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18" w:customStyle="1">
    <w:name w:val="Lined - Accent 6"/>
    <w:basedOn w:val="7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9" w:customStyle="1">
    <w:name w:val="Bordered &amp; Lined - Accent"/>
    <w:basedOn w:val="7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0" w:customStyle="1">
    <w:name w:val="Bordered &amp; Lined - Accent 1"/>
    <w:basedOn w:val="7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21" w:customStyle="1">
    <w:name w:val="Bordered &amp; Lined - Accent 2"/>
    <w:basedOn w:val="7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2" w:customStyle="1">
    <w:name w:val="Bordered &amp; Lined - Accent 3"/>
    <w:basedOn w:val="7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3" w:customStyle="1">
    <w:name w:val="Bordered &amp; Lined - Accent 4"/>
    <w:basedOn w:val="7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4" w:customStyle="1">
    <w:name w:val="Bordered &amp; Lined - Accent 5"/>
    <w:basedOn w:val="7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25" w:customStyle="1">
    <w:name w:val="Bordered &amp; Lined - Accent 6"/>
    <w:basedOn w:val="7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6" w:customStyle="1">
    <w:name w:val="Bordered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7" w:customStyle="1">
    <w:name w:val="Bordered - Accent 1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28" w:customStyle="1">
    <w:name w:val="Bordered - Accent 2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9" w:customStyle="1">
    <w:name w:val="Bordered - Accent 3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0" w:customStyle="1">
    <w:name w:val="Bordered - Accent 4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1" w:customStyle="1">
    <w:name w:val="Bordered - Accent 5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932" w:customStyle="1">
    <w:name w:val="Bordered - Accent 6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33">
    <w:name w:val="footnote text"/>
    <w:basedOn w:val="753"/>
    <w:link w:val="934"/>
    <w:uiPriority w:val="99"/>
    <w:semiHidden/>
    <w:unhideWhenUsed/>
    <w:pPr>
      <w:spacing w:after="40" w:line="240" w:lineRule="auto"/>
    </w:pPr>
    <w:rPr>
      <w:sz w:val="18"/>
    </w:rPr>
  </w:style>
  <w:style w:type="character" w:styleId="934" w:customStyle="1">
    <w:name w:val="Текст сноски Знак"/>
    <w:link w:val="933"/>
    <w:uiPriority w:val="99"/>
    <w:rPr>
      <w:sz w:val="18"/>
    </w:rPr>
  </w:style>
  <w:style w:type="character" w:styleId="935">
    <w:name w:val="footnote reference"/>
    <w:basedOn w:val="763"/>
    <w:uiPriority w:val="99"/>
    <w:unhideWhenUsed/>
    <w:rPr>
      <w:vertAlign w:val="superscript"/>
    </w:rPr>
  </w:style>
  <w:style w:type="paragraph" w:styleId="936">
    <w:name w:val="endnote text"/>
    <w:basedOn w:val="753"/>
    <w:link w:val="937"/>
    <w:uiPriority w:val="99"/>
    <w:semiHidden/>
    <w:unhideWhenUsed/>
    <w:pPr>
      <w:spacing w:after="0" w:line="240" w:lineRule="auto"/>
    </w:pPr>
    <w:rPr>
      <w:sz w:val="20"/>
    </w:rPr>
  </w:style>
  <w:style w:type="character" w:styleId="937" w:customStyle="1">
    <w:name w:val="Текст концевой сноски Знак"/>
    <w:link w:val="936"/>
    <w:uiPriority w:val="99"/>
    <w:rPr>
      <w:sz w:val="20"/>
    </w:rPr>
  </w:style>
  <w:style w:type="character" w:styleId="938">
    <w:name w:val="endnote reference"/>
    <w:basedOn w:val="763"/>
    <w:uiPriority w:val="99"/>
    <w:semiHidden/>
    <w:unhideWhenUsed/>
    <w:rPr>
      <w:vertAlign w:val="superscript"/>
    </w:rPr>
  </w:style>
  <w:style w:type="paragraph" w:styleId="939">
    <w:name w:val="toc 1"/>
    <w:basedOn w:val="753"/>
    <w:next w:val="753"/>
    <w:uiPriority w:val="39"/>
    <w:unhideWhenUsed/>
    <w:pPr>
      <w:spacing w:after="57"/>
    </w:pPr>
  </w:style>
  <w:style w:type="paragraph" w:styleId="940">
    <w:name w:val="toc 2"/>
    <w:basedOn w:val="753"/>
    <w:next w:val="753"/>
    <w:uiPriority w:val="39"/>
    <w:unhideWhenUsed/>
    <w:pPr>
      <w:ind w:left="283"/>
      <w:spacing w:after="57"/>
    </w:pPr>
  </w:style>
  <w:style w:type="paragraph" w:styleId="941">
    <w:name w:val="toc 3"/>
    <w:basedOn w:val="753"/>
    <w:next w:val="753"/>
    <w:uiPriority w:val="39"/>
    <w:unhideWhenUsed/>
    <w:pPr>
      <w:ind w:left="567"/>
      <w:spacing w:after="57"/>
    </w:pPr>
  </w:style>
  <w:style w:type="paragraph" w:styleId="942">
    <w:name w:val="toc 4"/>
    <w:basedOn w:val="753"/>
    <w:next w:val="753"/>
    <w:uiPriority w:val="39"/>
    <w:unhideWhenUsed/>
    <w:pPr>
      <w:ind w:left="850"/>
      <w:spacing w:after="57"/>
    </w:pPr>
  </w:style>
  <w:style w:type="paragraph" w:styleId="943">
    <w:name w:val="toc 5"/>
    <w:basedOn w:val="753"/>
    <w:next w:val="753"/>
    <w:uiPriority w:val="39"/>
    <w:unhideWhenUsed/>
    <w:pPr>
      <w:ind w:left="1134"/>
      <w:spacing w:after="57"/>
    </w:pPr>
  </w:style>
  <w:style w:type="paragraph" w:styleId="944">
    <w:name w:val="toc 6"/>
    <w:basedOn w:val="753"/>
    <w:next w:val="753"/>
    <w:uiPriority w:val="39"/>
    <w:unhideWhenUsed/>
    <w:pPr>
      <w:ind w:left="1417"/>
      <w:spacing w:after="57"/>
    </w:pPr>
  </w:style>
  <w:style w:type="paragraph" w:styleId="945">
    <w:name w:val="toc 7"/>
    <w:basedOn w:val="753"/>
    <w:next w:val="753"/>
    <w:uiPriority w:val="39"/>
    <w:unhideWhenUsed/>
    <w:pPr>
      <w:ind w:left="1701"/>
      <w:spacing w:after="57"/>
    </w:pPr>
  </w:style>
  <w:style w:type="paragraph" w:styleId="946">
    <w:name w:val="toc 8"/>
    <w:basedOn w:val="753"/>
    <w:next w:val="753"/>
    <w:uiPriority w:val="39"/>
    <w:unhideWhenUsed/>
    <w:pPr>
      <w:ind w:left="1984"/>
      <w:spacing w:after="57"/>
    </w:pPr>
  </w:style>
  <w:style w:type="paragraph" w:styleId="947">
    <w:name w:val="toc 9"/>
    <w:basedOn w:val="753"/>
    <w:next w:val="753"/>
    <w:uiPriority w:val="39"/>
    <w:unhideWhenUsed/>
    <w:pPr>
      <w:ind w:left="2268"/>
      <w:spacing w:after="57"/>
    </w:pPr>
  </w:style>
  <w:style w:type="paragraph" w:styleId="948">
    <w:name w:val="TOC Heading"/>
    <w:uiPriority w:val="39"/>
    <w:unhideWhenUsed/>
  </w:style>
  <w:style w:type="paragraph" w:styleId="949">
    <w:name w:val="table of figures"/>
    <w:basedOn w:val="753"/>
    <w:next w:val="753"/>
    <w:uiPriority w:val="99"/>
    <w:unhideWhenUsed/>
    <w:pPr>
      <w:spacing w:after="0"/>
    </w:pPr>
  </w:style>
  <w:style w:type="character" w:styleId="950">
    <w:name w:val="Hyperlink"/>
    <w:basedOn w:val="763"/>
    <w:uiPriority w:val="99"/>
    <w:unhideWhenUsed/>
    <w:rPr>
      <w:color w:val="0563c1" w:themeColor="hyperlink"/>
      <w:u w:val="single"/>
    </w:rPr>
  </w:style>
  <w:style w:type="character" w:styleId="951" w:customStyle="1">
    <w:name w:val="Неразрешенное упоминание1"/>
    <w:basedOn w:val="763"/>
    <w:uiPriority w:val="99"/>
    <w:semiHidden/>
    <w:unhideWhenUsed/>
    <w:rPr>
      <w:color w:val="605e5c"/>
      <w:shd w:val="clear" w:color="auto" w:fill="e1dfdd"/>
    </w:rPr>
  </w:style>
  <w:style w:type="paragraph" w:styleId="952">
    <w:name w:val="List Paragraph"/>
    <w:basedOn w:val="75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yperlink" Target="https://warpoint.ru/rules" TargetMode="External"/><Relationship Id="rId13" Type="http://schemas.openxmlformats.org/officeDocument/2006/relationships/hyperlink" Target="https://warpoint.ru/action" TargetMode="External"/><Relationship Id="rId14" Type="http://schemas.openxmlformats.org/officeDocument/2006/relationships/hyperlink" Target="https://warpoint.ru/cookie" TargetMode="External"/><Relationship Id="rId15" Type="http://schemas.openxmlformats.org/officeDocument/2006/relationships/hyperlink" Target="https://clck.ru/rdWjd" TargetMode="External"/><Relationship Id="rId16" Type="http://schemas.openxmlformats.org/officeDocument/2006/relationships/hyperlink" Target="https://warpoint.ru/policy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Skorobogatov</dc:creator>
  <cp:keywords/>
  <dc:description/>
  <cp:lastModifiedBy>Екатерина Киричай</cp:lastModifiedBy>
  <cp:revision>3</cp:revision>
  <dcterms:created xsi:type="dcterms:W3CDTF">2024-11-27T09:58:00Z</dcterms:created>
  <dcterms:modified xsi:type="dcterms:W3CDTF">2025-11-20T10:23:28Z</dcterms:modified>
</cp:coreProperties>
</file>